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5C1FF" w14:textId="2F690C8D" w:rsidR="007D2ADE" w:rsidRDefault="00CD3FFF" w:rsidP="00CD3F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CHARTER</w:t>
      </w:r>
    </w:p>
    <w:p w14:paraId="36C35C84" w14:textId="792E0F86" w:rsidR="00CD3FFF" w:rsidRPr="00CD3FFF" w:rsidRDefault="00CD3FFF" w:rsidP="00CD3F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FFF">
        <w:rPr>
          <w:rFonts w:ascii="Times New Roman" w:hAnsi="Times New Roman" w:cs="Times New Roman"/>
          <w:b/>
          <w:bCs/>
          <w:sz w:val="24"/>
          <w:szCs w:val="24"/>
        </w:rPr>
        <w:t>Washington State Cybersecurity Advisory Committee</w:t>
      </w:r>
    </w:p>
    <w:p w14:paraId="36B41CD8" w14:textId="77777777" w:rsidR="00CD3FFF" w:rsidRDefault="00CD3FFF" w:rsidP="00CD3FFF">
      <w:pPr>
        <w:rPr>
          <w:rFonts w:ascii="Times New Roman" w:hAnsi="Times New Roman" w:cs="Times New Roman"/>
          <w:sz w:val="24"/>
          <w:szCs w:val="24"/>
        </w:rPr>
      </w:pPr>
    </w:p>
    <w:p w14:paraId="54424CC4" w14:textId="3D98BAF3" w:rsidR="00CD3FFF" w:rsidRDefault="00CD3FFF" w:rsidP="00CD3F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</w:t>
      </w:r>
    </w:p>
    <w:p w14:paraId="4CDE28EB" w14:textId="48143AA2" w:rsidR="00CD3FFF" w:rsidRDefault="00CD3FFF" w:rsidP="00CD3FFF">
      <w:pPr>
        <w:pStyle w:val="BodyText"/>
        <w:ind w:left="720" w:right="199"/>
      </w:pPr>
      <w:r>
        <w:t>The</w:t>
      </w:r>
      <w:r>
        <w:rPr>
          <w:spacing w:val="-5"/>
        </w:rPr>
        <w:t xml:space="preserve"> </w:t>
      </w:r>
      <w:r w:rsidR="00824DF9">
        <w:t>committee's name</w:t>
      </w:r>
      <w:r>
        <w:rPr>
          <w:spacing w:val="-2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“Cybersecurity Advisory Committee,”</w:t>
      </w:r>
      <w:r>
        <w:rPr>
          <w:spacing w:val="-5"/>
        </w:rPr>
        <w:t xml:space="preserve"> </w:t>
      </w:r>
      <w:r>
        <w:t>hereafter</w:t>
      </w:r>
      <w:r>
        <w:rPr>
          <w:spacing w:val="-5"/>
        </w:rPr>
        <w:t xml:space="preserve"> </w:t>
      </w:r>
      <w:r>
        <w:t>referred to as the Committee. This Committee is an advisory committee to the Washington State Emergency Management Council (EMC).</w:t>
      </w:r>
    </w:p>
    <w:p w14:paraId="63616FA0" w14:textId="77777777" w:rsidR="00CD3FFF" w:rsidRDefault="00CD3FFF" w:rsidP="00CD3FFF">
      <w:pPr>
        <w:pStyle w:val="BodyText"/>
        <w:ind w:left="720" w:right="199"/>
      </w:pPr>
    </w:p>
    <w:p w14:paraId="2F22C5E9" w14:textId="5956B4E9" w:rsidR="00CD3FFF" w:rsidRPr="00CD3FFF" w:rsidRDefault="00CD3FFF" w:rsidP="00CD3FFF">
      <w:pPr>
        <w:pStyle w:val="BodyText"/>
        <w:numPr>
          <w:ilvl w:val="0"/>
          <w:numId w:val="1"/>
        </w:numPr>
        <w:spacing w:after="160"/>
        <w:ind w:right="202"/>
        <w:rPr>
          <w:b/>
          <w:bCs/>
        </w:rPr>
      </w:pPr>
      <w:r w:rsidRPr="00CD3FFF">
        <w:rPr>
          <w:b/>
          <w:bCs/>
        </w:rPr>
        <w:t>Authority</w:t>
      </w:r>
    </w:p>
    <w:p w14:paraId="4A012E64" w14:textId="48D7EDCC" w:rsidR="00CD3FFF" w:rsidRDefault="00CD3FFF" w:rsidP="00CD3FFF">
      <w:pPr>
        <w:pStyle w:val="BodyText"/>
        <w:ind w:left="720"/>
      </w:pPr>
      <w:r>
        <w:t>The</w:t>
      </w:r>
      <w:r>
        <w:rPr>
          <w:spacing w:val="-4"/>
        </w:rPr>
        <w:t xml:space="preserve"> </w:t>
      </w:r>
      <w:r>
        <w:t>Committee is</w:t>
      </w:r>
      <w:r>
        <w:rPr>
          <w:spacing w:val="-3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empowered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laws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hyperlink r:id="rId7" w:history="1">
        <w:r w:rsidRPr="0057433B">
          <w:rPr>
            <w:rStyle w:val="Hyperlink"/>
          </w:rPr>
          <w:t>Chapter</w:t>
        </w:r>
        <w:r w:rsidRPr="0057433B">
          <w:rPr>
            <w:rStyle w:val="Hyperlink"/>
            <w:spacing w:val="-4"/>
          </w:rPr>
          <w:t xml:space="preserve"> </w:t>
        </w:r>
        <w:r w:rsidRPr="0057433B">
          <w:rPr>
            <w:rStyle w:val="Hyperlink"/>
          </w:rPr>
          <w:t>38.52.040</w:t>
        </w:r>
      </w:hyperlink>
      <w:r>
        <w:rPr>
          <w:spacing w:val="-3"/>
        </w:rPr>
        <w:t xml:space="preserve"> </w:t>
      </w:r>
      <w:r>
        <w:t xml:space="preserve">of the Revised Code of Washington (RCW). The Committee’s annual reporting requirement is authorized in </w:t>
      </w:r>
      <w:hyperlink r:id="rId8" w:history="1">
        <w:r w:rsidRPr="000E41F3">
          <w:rPr>
            <w:rStyle w:val="Hyperlink"/>
          </w:rPr>
          <w:t>Chapter 43.105</w:t>
        </w:r>
      </w:hyperlink>
      <w:r w:rsidR="00824DF9">
        <w:rPr>
          <w:rStyle w:val="Hyperlink"/>
        </w:rPr>
        <w:t>.291</w:t>
      </w:r>
      <w:r>
        <w:t>.</w:t>
      </w:r>
    </w:p>
    <w:p w14:paraId="061E9382" w14:textId="77777777" w:rsidR="00CD3FFF" w:rsidRDefault="00CD3FFF" w:rsidP="00CD3FFF">
      <w:pPr>
        <w:pStyle w:val="BodyText"/>
        <w:ind w:left="720" w:right="199"/>
      </w:pPr>
    </w:p>
    <w:p w14:paraId="45279E74" w14:textId="66340CFC" w:rsidR="00CD3FFF" w:rsidRPr="00CD3FFF" w:rsidRDefault="00CD3FFF" w:rsidP="00CD3FFF">
      <w:pPr>
        <w:pStyle w:val="BodyText"/>
        <w:numPr>
          <w:ilvl w:val="0"/>
          <w:numId w:val="1"/>
        </w:numPr>
        <w:spacing w:after="160"/>
        <w:ind w:right="202"/>
        <w:rPr>
          <w:b/>
          <w:bCs/>
        </w:rPr>
      </w:pPr>
      <w:r w:rsidRPr="00CD3FFF">
        <w:rPr>
          <w:b/>
          <w:bCs/>
        </w:rPr>
        <w:t>Purpose</w:t>
      </w:r>
    </w:p>
    <w:p w14:paraId="21BC6329" w14:textId="1ECA8DCB" w:rsidR="00CD3FFF" w:rsidRDefault="00CD3FFF" w:rsidP="00CD3FFF">
      <w:pPr>
        <w:pStyle w:val="BodyText"/>
        <w:ind w:left="720" w:right="199"/>
      </w:pPr>
      <w:r w:rsidRPr="00CD3FFF">
        <w:t xml:space="preserve">The Charter identifies the Committee’s responsibility to provide advice and recommendations that strengthen cybersecurity in industry and public sectors across all </w:t>
      </w:r>
      <w:hyperlink r:id="rId9" w:history="1">
        <w:r w:rsidRPr="00CD3FFF">
          <w:rPr>
            <w:rStyle w:val="Hyperlink"/>
          </w:rPr>
          <w:t>critical infrastructure sectors</w:t>
        </w:r>
      </w:hyperlink>
      <w:r w:rsidRPr="00CD3FFF">
        <w:t xml:space="preserve">. Advice and recommendations produced by the Committee will be provided to the Emergency Management Council </w:t>
      </w:r>
      <w:r w:rsidR="0028613F">
        <w:t xml:space="preserve">(EMC) </w:t>
      </w:r>
      <w:r w:rsidRPr="00CD3FFF">
        <w:t xml:space="preserve">and included in an annual report to the legislature. </w:t>
      </w:r>
    </w:p>
    <w:p w14:paraId="1FBC1249" w14:textId="77777777" w:rsidR="00CD3FFF" w:rsidRDefault="00CD3FFF" w:rsidP="00CD3FFF">
      <w:pPr>
        <w:pStyle w:val="BodyText"/>
        <w:ind w:left="720" w:right="199"/>
      </w:pPr>
    </w:p>
    <w:p w14:paraId="7112F08D" w14:textId="3B8BC1A0" w:rsidR="00CD3FFF" w:rsidRPr="00CD3FFF" w:rsidRDefault="00CD3FFF" w:rsidP="00CD3FFF">
      <w:pPr>
        <w:pStyle w:val="BodyText"/>
        <w:numPr>
          <w:ilvl w:val="0"/>
          <w:numId w:val="1"/>
        </w:numPr>
        <w:spacing w:after="160"/>
        <w:rPr>
          <w:b/>
          <w:bCs/>
        </w:rPr>
      </w:pPr>
      <w:r w:rsidRPr="00CD3FFF">
        <w:rPr>
          <w:b/>
          <w:bCs/>
        </w:rPr>
        <w:t>Priorities</w:t>
      </w:r>
    </w:p>
    <w:p w14:paraId="1B945E18" w14:textId="484A5DEB" w:rsidR="00475E8B" w:rsidRDefault="00475E8B" w:rsidP="00475E8B">
      <w:pPr>
        <w:pStyle w:val="BodyText"/>
        <w:numPr>
          <w:ilvl w:val="1"/>
          <w:numId w:val="1"/>
        </w:numPr>
        <w:spacing w:after="160"/>
      </w:pPr>
      <w:r w:rsidRPr="00EE42A9">
        <w:rPr>
          <w:szCs w:val="22"/>
        </w:rPr>
        <w:t>Identif</w:t>
      </w:r>
      <w:r>
        <w:rPr>
          <w:szCs w:val="22"/>
        </w:rPr>
        <w:t>y</w:t>
      </w:r>
      <w:r w:rsidRPr="00EE42A9">
        <w:rPr>
          <w:szCs w:val="22"/>
        </w:rPr>
        <w:t xml:space="preserve"> which local, tribal, and industry infrastructure sectors are at the greatest risk of cyberattacks and need the most</w:t>
      </w:r>
      <w:r>
        <w:rPr>
          <w:szCs w:val="22"/>
        </w:rPr>
        <w:t xml:space="preserve"> </w:t>
      </w:r>
      <w:r w:rsidRPr="00EE42A9">
        <w:rPr>
          <w:szCs w:val="22"/>
        </w:rPr>
        <w:t>enhanced cybersecurity measures</w:t>
      </w:r>
      <w:r>
        <w:rPr>
          <w:szCs w:val="22"/>
        </w:rPr>
        <w:t>.</w:t>
      </w:r>
    </w:p>
    <w:p w14:paraId="394AC591" w14:textId="77777777" w:rsidR="00475E8B" w:rsidRDefault="00475E8B" w:rsidP="00475E8B">
      <w:pPr>
        <w:pStyle w:val="BodyText"/>
        <w:numPr>
          <w:ilvl w:val="1"/>
          <w:numId w:val="1"/>
        </w:numPr>
        <w:spacing w:after="160"/>
      </w:pPr>
      <w:r w:rsidRPr="00475E8B">
        <w:rPr>
          <w:szCs w:val="22"/>
        </w:rPr>
        <w:t xml:space="preserve">Uses federal guidance to analyze categories of critical infrastructure in the state that could reasonably result in catastrophic consequences if unauthorized access to the infrastructure’s information technology and/or computer networks occurs. </w:t>
      </w:r>
    </w:p>
    <w:p w14:paraId="2FCADD38" w14:textId="5BAE60B0" w:rsidR="00475E8B" w:rsidRDefault="00475E8B" w:rsidP="00475E8B">
      <w:pPr>
        <w:pStyle w:val="BodyText"/>
        <w:numPr>
          <w:ilvl w:val="1"/>
          <w:numId w:val="1"/>
        </w:numPr>
        <w:spacing w:after="160"/>
      </w:pPr>
      <w:r>
        <w:t xml:space="preserve">Recommend cyber incident response exercises </w:t>
      </w:r>
      <w:r w:rsidR="00824DF9">
        <w:t>related</w:t>
      </w:r>
      <w:r>
        <w:t xml:space="preserve"> to risk and risk mitigation in the water, transportation, communications, health care, election, agriculture, energy</w:t>
      </w:r>
      <w:r w:rsidR="00824DF9">
        <w:t>,</w:t>
      </w:r>
      <w:r>
        <w:t xml:space="preserve"> and higher education sectors. Additional sectors may be considered as deemed appropriate by the Committee.</w:t>
      </w:r>
    </w:p>
    <w:p w14:paraId="4D1EE6E8" w14:textId="37541588" w:rsidR="00475E8B" w:rsidRDefault="00475E8B" w:rsidP="00475E8B">
      <w:pPr>
        <w:pStyle w:val="BodyText"/>
        <w:numPr>
          <w:ilvl w:val="1"/>
          <w:numId w:val="1"/>
        </w:numPr>
        <w:spacing w:after="160"/>
      </w:pPr>
      <w:r>
        <w:t>Examine inconsistencies between state and federal law regarding cybersecurity.</w:t>
      </w:r>
    </w:p>
    <w:p w14:paraId="3B144273" w14:textId="4762ED7D" w:rsidR="00475E8B" w:rsidRPr="00475E8B" w:rsidRDefault="00475E8B" w:rsidP="00475E8B">
      <w:pPr>
        <w:pStyle w:val="BodyText"/>
        <w:numPr>
          <w:ilvl w:val="0"/>
          <w:numId w:val="1"/>
        </w:numPr>
        <w:spacing w:after="160"/>
        <w:rPr>
          <w:b/>
          <w:bCs/>
        </w:rPr>
      </w:pPr>
      <w:r w:rsidRPr="00475E8B">
        <w:rPr>
          <w:b/>
          <w:bCs/>
        </w:rPr>
        <w:t>Membership</w:t>
      </w:r>
    </w:p>
    <w:p w14:paraId="159384A6" w14:textId="0CCA2284" w:rsidR="00475E8B" w:rsidRDefault="00475E8B" w:rsidP="00926FCB">
      <w:pPr>
        <w:pStyle w:val="BodyText"/>
        <w:numPr>
          <w:ilvl w:val="0"/>
          <w:numId w:val="7"/>
        </w:numPr>
        <w:spacing w:after="160"/>
      </w:pPr>
      <w:r>
        <w:t>Committee membership should include</w:t>
      </w:r>
      <w:r w:rsidR="00AE6191">
        <w:t>, but is not limited to,</w:t>
      </w:r>
      <w:r>
        <w:t xml:space="preserve"> at least one representative with cybersecurity expertise from an organization in each of the following sectors:</w:t>
      </w:r>
    </w:p>
    <w:p w14:paraId="799987EB" w14:textId="77777777" w:rsidR="00475E8B" w:rsidRDefault="00475E8B" w:rsidP="00AE6191">
      <w:pPr>
        <w:pStyle w:val="BodyText"/>
        <w:numPr>
          <w:ilvl w:val="0"/>
          <w:numId w:val="8"/>
        </w:numPr>
        <w:ind w:left="1620" w:hanging="540"/>
      </w:pPr>
      <w:r>
        <w:t>Commercial Facilities</w:t>
      </w:r>
    </w:p>
    <w:p w14:paraId="120038C3" w14:textId="77777777" w:rsidR="00475E8B" w:rsidRDefault="00475E8B" w:rsidP="00AE6191">
      <w:pPr>
        <w:pStyle w:val="BodyText"/>
        <w:numPr>
          <w:ilvl w:val="0"/>
          <w:numId w:val="8"/>
        </w:numPr>
        <w:ind w:left="1620" w:hanging="540"/>
      </w:pPr>
      <w:r>
        <w:t>Communications</w:t>
      </w:r>
    </w:p>
    <w:p w14:paraId="2D8E4404" w14:textId="77777777" w:rsidR="00475E8B" w:rsidRDefault="00475E8B" w:rsidP="00AE6191">
      <w:pPr>
        <w:pStyle w:val="BodyText"/>
        <w:numPr>
          <w:ilvl w:val="0"/>
          <w:numId w:val="8"/>
        </w:numPr>
        <w:ind w:left="1620" w:hanging="540"/>
      </w:pPr>
      <w:r>
        <w:t>Critical Manufacturing</w:t>
      </w:r>
    </w:p>
    <w:p w14:paraId="45D4299D" w14:textId="26372951" w:rsidR="00475E8B" w:rsidRDefault="00475E8B" w:rsidP="00AE6191">
      <w:pPr>
        <w:pStyle w:val="BodyText"/>
        <w:numPr>
          <w:ilvl w:val="0"/>
          <w:numId w:val="8"/>
        </w:numPr>
        <w:ind w:left="1620" w:hanging="540"/>
      </w:pPr>
      <w:r>
        <w:t>Elections</w:t>
      </w:r>
      <w:r w:rsidR="006C7D44">
        <w:t xml:space="preserve"> Subsector</w:t>
      </w:r>
      <w:r w:rsidR="00797CE6">
        <w:t>,</w:t>
      </w:r>
      <w:r w:rsidR="006C7D44">
        <w:t xml:space="preserve"> Government Facilities</w:t>
      </w:r>
    </w:p>
    <w:p w14:paraId="774D55E8" w14:textId="77777777" w:rsidR="00475E8B" w:rsidRDefault="00475E8B" w:rsidP="00AE6191">
      <w:pPr>
        <w:pStyle w:val="BodyText"/>
        <w:numPr>
          <w:ilvl w:val="0"/>
          <w:numId w:val="8"/>
        </w:numPr>
        <w:ind w:left="1620" w:hanging="540"/>
      </w:pPr>
      <w:r>
        <w:lastRenderedPageBreak/>
        <w:t>Emergency Services</w:t>
      </w:r>
    </w:p>
    <w:p w14:paraId="1A69CB52" w14:textId="77777777" w:rsidR="00DD4231" w:rsidRDefault="00475E8B" w:rsidP="00AE6191">
      <w:pPr>
        <w:pStyle w:val="BodyText"/>
        <w:numPr>
          <w:ilvl w:val="0"/>
          <w:numId w:val="8"/>
        </w:numPr>
        <w:ind w:left="1620" w:hanging="540"/>
      </w:pPr>
      <w:r>
        <w:t>Energ</w:t>
      </w:r>
      <w:r w:rsidR="00DD4231">
        <w:t>y</w:t>
      </w:r>
    </w:p>
    <w:p w14:paraId="6CE5985E" w14:textId="0A34D925" w:rsidR="00475E8B" w:rsidRDefault="00DD4231" w:rsidP="00AE6191">
      <w:pPr>
        <w:pStyle w:val="BodyText"/>
        <w:numPr>
          <w:ilvl w:val="0"/>
          <w:numId w:val="8"/>
        </w:numPr>
        <w:ind w:left="1620" w:hanging="540"/>
      </w:pPr>
      <w:r>
        <w:t>Federal Homeland Security Agencies</w:t>
      </w:r>
      <w:r w:rsidR="00475E8B">
        <w:tab/>
      </w:r>
    </w:p>
    <w:p w14:paraId="3F134E5A" w14:textId="77777777" w:rsidR="00475E8B" w:rsidRDefault="00475E8B" w:rsidP="00AE6191">
      <w:pPr>
        <w:pStyle w:val="BodyText"/>
        <w:numPr>
          <w:ilvl w:val="0"/>
          <w:numId w:val="8"/>
        </w:numPr>
        <w:ind w:left="1620" w:hanging="540"/>
      </w:pPr>
      <w:r>
        <w:t>Financial Services</w:t>
      </w:r>
    </w:p>
    <w:p w14:paraId="62B1A471" w14:textId="77777777" w:rsidR="00475E8B" w:rsidRDefault="00475E8B" w:rsidP="00AE6191">
      <w:pPr>
        <w:pStyle w:val="BodyText"/>
        <w:numPr>
          <w:ilvl w:val="0"/>
          <w:numId w:val="8"/>
        </w:numPr>
        <w:ind w:left="1620" w:hanging="540"/>
      </w:pPr>
      <w:r>
        <w:t>Food &amp; Agriculture</w:t>
      </w:r>
    </w:p>
    <w:p w14:paraId="53FE6368" w14:textId="77777777" w:rsidR="00475E8B" w:rsidRDefault="00475E8B" w:rsidP="00AE6191">
      <w:pPr>
        <w:pStyle w:val="BodyText"/>
        <w:numPr>
          <w:ilvl w:val="0"/>
          <w:numId w:val="8"/>
        </w:numPr>
        <w:ind w:left="1620" w:hanging="540"/>
      </w:pPr>
      <w:r>
        <w:t>Healthcare &amp; Public Health</w:t>
      </w:r>
    </w:p>
    <w:p w14:paraId="61387D3F" w14:textId="77777777" w:rsidR="00475E8B" w:rsidRDefault="00475E8B" w:rsidP="00AE6191">
      <w:pPr>
        <w:pStyle w:val="BodyText"/>
        <w:numPr>
          <w:ilvl w:val="0"/>
          <w:numId w:val="8"/>
        </w:numPr>
        <w:ind w:left="1620" w:hanging="540"/>
      </w:pPr>
      <w:r>
        <w:t>Higher Education</w:t>
      </w:r>
    </w:p>
    <w:p w14:paraId="4F29CC60" w14:textId="77777777" w:rsidR="00475E8B" w:rsidRDefault="00475E8B" w:rsidP="00AE6191">
      <w:pPr>
        <w:pStyle w:val="BodyText"/>
        <w:numPr>
          <w:ilvl w:val="0"/>
          <w:numId w:val="8"/>
        </w:numPr>
        <w:ind w:left="1620" w:hanging="540"/>
      </w:pPr>
      <w:r>
        <w:t>Information Technology</w:t>
      </w:r>
    </w:p>
    <w:p w14:paraId="11926DB2" w14:textId="77777777" w:rsidR="00475E8B" w:rsidRDefault="00475E8B" w:rsidP="00AE6191">
      <w:pPr>
        <w:pStyle w:val="BodyText"/>
        <w:numPr>
          <w:ilvl w:val="0"/>
          <w:numId w:val="8"/>
        </w:numPr>
        <w:ind w:left="1620" w:hanging="540"/>
      </w:pPr>
      <w:r>
        <w:t>Local Government</w:t>
      </w:r>
    </w:p>
    <w:p w14:paraId="398711F1" w14:textId="77777777" w:rsidR="00475E8B" w:rsidRDefault="00475E8B" w:rsidP="00AE6191">
      <w:pPr>
        <w:pStyle w:val="BodyText"/>
        <w:numPr>
          <w:ilvl w:val="0"/>
          <w:numId w:val="8"/>
        </w:numPr>
        <w:ind w:left="1620" w:hanging="540"/>
      </w:pPr>
      <w:r>
        <w:t>Transportation</w:t>
      </w:r>
      <w:r>
        <w:tab/>
      </w:r>
      <w:r>
        <w:tab/>
        <w:t xml:space="preserve"> </w:t>
      </w:r>
    </w:p>
    <w:p w14:paraId="0DC820F2" w14:textId="77777777" w:rsidR="00475E8B" w:rsidRDefault="00475E8B" w:rsidP="00AE6191">
      <w:pPr>
        <w:pStyle w:val="BodyText"/>
        <w:numPr>
          <w:ilvl w:val="0"/>
          <w:numId w:val="8"/>
        </w:numPr>
        <w:ind w:left="1620" w:hanging="540"/>
      </w:pPr>
      <w:r>
        <w:t>Tribal Government</w:t>
      </w:r>
    </w:p>
    <w:p w14:paraId="27706A2A" w14:textId="51A4A7F3" w:rsidR="00475E8B" w:rsidRDefault="00475E8B" w:rsidP="00AE6191">
      <w:pPr>
        <w:pStyle w:val="BodyText"/>
        <w:numPr>
          <w:ilvl w:val="0"/>
          <w:numId w:val="8"/>
        </w:numPr>
        <w:spacing w:after="160"/>
        <w:ind w:left="1620" w:hanging="540"/>
      </w:pPr>
      <w:r>
        <w:t>Water/wastewater</w:t>
      </w:r>
    </w:p>
    <w:p w14:paraId="7544134C" w14:textId="77777777" w:rsidR="00E94A76" w:rsidRDefault="00E94A76" w:rsidP="00E94A76">
      <w:pPr>
        <w:pStyle w:val="BodyText"/>
        <w:numPr>
          <w:ilvl w:val="0"/>
          <w:numId w:val="7"/>
        </w:numPr>
        <w:spacing w:after="160"/>
      </w:pPr>
      <w:r>
        <w:t>The Technology Services Board (TSB) Security Subcommittee chair shall be a standing committee member.</w:t>
      </w:r>
    </w:p>
    <w:p w14:paraId="067E43B7" w14:textId="49925C8D" w:rsidR="00BF70A0" w:rsidRDefault="00131623" w:rsidP="009841D4">
      <w:pPr>
        <w:pStyle w:val="BodyText"/>
        <w:numPr>
          <w:ilvl w:val="0"/>
          <w:numId w:val="7"/>
        </w:numPr>
        <w:spacing w:after="160"/>
      </w:pPr>
      <w:r>
        <w:t xml:space="preserve">Committee membership is managed </w:t>
      </w:r>
      <w:r w:rsidR="009841D4">
        <w:t xml:space="preserve">by the Washington State Military Department’s Emergency Management Division (EMD) according to </w:t>
      </w:r>
      <w:r>
        <w:t xml:space="preserve">the requirements </w:t>
      </w:r>
      <w:r w:rsidR="00E75CDB">
        <w:t>of this charter</w:t>
      </w:r>
      <w:r w:rsidR="00234462">
        <w:t>.</w:t>
      </w:r>
    </w:p>
    <w:p w14:paraId="66780923" w14:textId="6CF0524E" w:rsidR="00CD3FFF" w:rsidRDefault="00AE6191" w:rsidP="00AE6191">
      <w:pPr>
        <w:pStyle w:val="BodyText"/>
        <w:numPr>
          <w:ilvl w:val="0"/>
          <w:numId w:val="1"/>
        </w:numPr>
        <w:spacing w:after="160"/>
        <w:rPr>
          <w:b/>
          <w:bCs/>
        </w:rPr>
      </w:pPr>
      <w:r w:rsidRPr="00AE6191">
        <w:rPr>
          <w:b/>
          <w:bCs/>
        </w:rPr>
        <w:t>Member Expectations</w:t>
      </w:r>
    </w:p>
    <w:p w14:paraId="7182CE8B" w14:textId="3D274D50" w:rsidR="00152B0F" w:rsidRDefault="00152B0F" w:rsidP="00AE6191">
      <w:pPr>
        <w:pStyle w:val="BodyText"/>
        <w:numPr>
          <w:ilvl w:val="0"/>
          <w:numId w:val="9"/>
        </w:numPr>
        <w:spacing w:after="160"/>
      </w:pPr>
      <w:r>
        <w:t xml:space="preserve">Members should have expertise and responsibilities for cybersecurity for their organizations and/or are the lead state agency for coordination with their sector regarding cybersecurity planning, training, exercise, and incident coordination. </w:t>
      </w:r>
    </w:p>
    <w:p w14:paraId="10D168ED" w14:textId="1FFABF1F" w:rsidR="00AE6191" w:rsidRDefault="00AE6191" w:rsidP="00AE6191">
      <w:pPr>
        <w:pStyle w:val="BodyText"/>
        <w:numPr>
          <w:ilvl w:val="0"/>
          <w:numId w:val="9"/>
        </w:numPr>
        <w:spacing w:after="160"/>
      </w:pPr>
      <w:r>
        <w:t>Committee members will make every effort to attend meetings</w:t>
      </w:r>
      <w:r w:rsidR="0028613F">
        <w:t>.</w:t>
      </w:r>
    </w:p>
    <w:p w14:paraId="1DBBCB35" w14:textId="4BC025C4" w:rsidR="00AE6191" w:rsidRDefault="00AE6191" w:rsidP="00AE6191">
      <w:pPr>
        <w:pStyle w:val="BodyText"/>
        <w:numPr>
          <w:ilvl w:val="0"/>
          <w:numId w:val="9"/>
        </w:numPr>
        <w:spacing w:after="160"/>
      </w:pPr>
      <w:r>
        <w:t xml:space="preserve">If a member misses two (2) consecutive meetings without good cause, the Committee may recommend to the Emergency Management Council that </w:t>
      </w:r>
      <w:r w:rsidR="00824DF9">
        <w:t>a new member vacate and fill the position</w:t>
      </w:r>
      <w:r>
        <w:t>.</w:t>
      </w:r>
    </w:p>
    <w:p w14:paraId="5F7BD67A" w14:textId="013D374F" w:rsidR="00AE6191" w:rsidRPr="0028613F" w:rsidRDefault="00AE6191" w:rsidP="00AE6191">
      <w:pPr>
        <w:pStyle w:val="BodyText"/>
        <w:numPr>
          <w:ilvl w:val="0"/>
          <w:numId w:val="1"/>
        </w:numPr>
        <w:spacing w:after="160"/>
        <w:rPr>
          <w:b/>
          <w:bCs/>
        </w:rPr>
      </w:pPr>
      <w:r w:rsidRPr="0028613F">
        <w:rPr>
          <w:b/>
          <w:bCs/>
        </w:rPr>
        <w:t>Meeting Administration</w:t>
      </w:r>
    </w:p>
    <w:p w14:paraId="4850819C" w14:textId="597AFBF2" w:rsidR="00AE6191" w:rsidRDefault="00AE6191" w:rsidP="00AE6191">
      <w:pPr>
        <w:pStyle w:val="BodyText"/>
        <w:numPr>
          <w:ilvl w:val="0"/>
          <w:numId w:val="10"/>
        </w:numPr>
        <w:spacing w:after="160"/>
      </w:pPr>
      <w:r>
        <w:t xml:space="preserve">Meetings will be scheduled, facilitated and documented by the Washington State Military Department’s Emergency Management Division. </w:t>
      </w:r>
    </w:p>
    <w:p w14:paraId="75B8324D" w14:textId="28D1C82D" w:rsidR="00AE6191" w:rsidRDefault="00AE6191" w:rsidP="00AE6191">
      <w:pPr>
        <w:pStyle w:val="BodyText"/>
        <w:numPr>
          <w:ilvl w:val="0"/>
          <w:numId w:val="10"/>
        </w:numPr>
        <w:spacing w:after="160"/>
      </w:pPr>
      <w:r>
        <w:t xml:space="preserve">Meetings will be held at least quarterly and may occur at greater frequency </w:t>
      </w:r>
      <w:r w:rsidR="0028613F">
        <w:t>as determined by the Committee members or the Emergency Management Council (EMC).</w:t>
      </w:r>
    </w:p>
    <w:p w14:paraId="60E11BD2" w14:textId="2D2BE3A1" w:rsidR="0028613F" w:rsidRDefault="0028613F" w:rsidP="00AE6191">
      <w:pPr>
        <w:pStyle w:val="BodyText"/>
        <w:numPr>
          <w:ilvl w:val="0"/>
          <w:numId w:val="10"/>
        </w:numPr>
        <w:spacing w:after="160"/>
      </w:pPr>
      <w:r>
        <w:t xml:space="preserve">The Committee will hold at least one (1) meeting annually with the Technology Services Board </w:t>
      </w:r>
      <w:r w:rsidR="00824DF9">
        <w:t xml:space="preserve">(TSB) </w:t>
      </w:r>
      <w:r>
        <w:t>Security Subcommittee, administered by Washington Technology Solutions</w:t>
      </w:r>
      <w:r w:rsidR="00824DF9">
        <w:t xml:space="preserve"> (WaTech)</w:t>
      </w:r>
      <w:r>
        <w:t>.</w:t>
      </w:r>
    </w:p>
    <w:p w14:paraId="7B630E2C" w14:textId="4A6D3F49" w:rsidR="0028613F" w:rsidRDefault="0028613F" w:rsidP="00AE6191">
      <w:pPr>
        <w:pStyle w:val="BodyText"/>
        <w:numPr>
          <w:ilvl w:val="0"/>
          <w:numId w:val="10"/>
        </w:numPr>
        <w:spacing w:after="160"/>
      </w:pPr>
      <w:r>
        <w:t xml:space="preserve">Meetings will provide in-person and virtual options for attendance. </w:t>
      </w:r>
    </w:p>
    <w:p w14:paraId="1AE21A9F" w14:textId="537CB16E" w:rsidR="00AE6191" w:rsidRDefault="00AE6191" w:rsidP="00AE6191">
      <w:pPr>
        <w:pStyle w:val="BodyText"/>
        <w:numPr>
          <w:ilvl w:val="0"/>
          <w:numId w:val="10"/>
        </w:numPr>
        <w:spacing w:after="160"/>
      </w:pPr>
      <w:r>
        <w:t xml:space="preserve">Meeting agendas will be created and distributed to members no-later-than </w:t>
      </w:r>
      <w:r w:rsidR="0028613F">
        <w:t>two (2) weeks prior to the meeting date.</w:t>
      </w:r>
    </w:p>
    <w:p w14:paraId="58D5FEE0" w14:textId="1BE79CC1" w:rsidR="0028613F" w:rsidRDefault="0028613F" w:rsidP="00AE6191">
      <w:pPr>
        <w:pStyle w:val="BodyText"/>
        <w:numPr>
          <w:ilvl w:val="0"/>
          <w:numId w:val="10"/>
        </w:numPr>
        <w:spacing w:after="160"/>
      </w:pPr>
      <w:r>
        <w:t>Meeting minutes will be distributed no-later-than one (1) week after the meeting date.</w:t>
      </w:r>
    </w:p>
    <w:p w14:paraId="02C589ED" w14:textId="1B9BD5FC" w:rsidR="0028613F" w:rsidRPr="0028613F" w:rsidRDefault="0028613F" w:rsidP="0028613F">
      <w:pPr>
        <w:pStyle w:val="BodyText"/>
        <w:numPr>
          <w:ilvl w:val="0"/>
          <w:numId w:val="1"/>
        </w:numPr>
        <w:spacing w:after="160"/>
        <w:rPr>
          <w:b/>
          <w:bCs/>
        </w:rPr>
      </w:pPr>
      <w:r w:rsidRPr="0028613F">
        <w:rPr>
          <w:b/>
          <w:bCs/>
        </w:rPr>
        <w:lastRenderedPageBreak/>
        <w:t>Deliverables</w:t>
      </w:r>
    </w:p>
    <w:p w14:paraId="33CA69C9" w14:textId="5ED00EC0" w:rsidR="0028613F" w:rsidRDefault="0028613F" w:rsidP="0028613F">
      <w:pPr>
        <w:pStyle w:val="BodyText"/>
        <w:numPr>
          <w:ilvl w:val="0"/>
          <w:numId w:val="11"/>
        </w:numPr>
        <w:spacing w:after="160"/>
      </w:pPr>
      <w:r>
        <w:t>The Committee will provide a written report to the Emergency Management Council (EMC) three weeks in advance of scheduled EMC meetings.</w:t>
      </w:r>
    </w:p>
    <w:p w14:paraId="701DACD0" w14:textId="2D6C1614" w:rsidR="00F8730B" w:rsidRDefault="00F8730B" w:rsidP="0028613F">
      <w:pPr>
        <w:pStyle w:val="BodyText"/>
        <w:numPr>
          <w:ilvl w:val="0"/>
          <w:numId w:val="11"/>
        </w:numPr>
        <w:spacing w:after="160"/>
      </w:pPr>
      <w:r>
        <w:t>The Committee will provide an annual update as part of the Emergency Management Council’s</w:t>
      </w:r>
      <w:r w:rsidR="00290429">
        <w:t xml:space="preserve"> (EMC) annual report.</w:t>
      </w:r>
    </w:p>
    <w:p w14:paraId="28028BB2" w14:textId="7D265041" w:rsidR="0028613F" w:rsidRDefault="0028613F" w:rsidP="0028613F">
      <w:pPr>
        <w:pStyle w:val="BodyText"/>
        <w:numPr>
          <w:ilvl w:val="0"/>
          <w:numId w:val="11"/>
        </w:numPr>
        <w:spacing w:after="160"/>
      </w:pPr>
      <w:r>
        <w:t>The Committee will provide an annual written report to the Washington Technology Solutions agency for inclusion in a report to the legislature each December.</w:t>
      </w:r>
    </w:p>
    <w:p w14:paraId="0D958C11" w14:textId="7FB3C683" w:rsidR="006B3D91" w:rsidRPr="006B3D91" w:rsidRDefault="006B3D91" w:rsidP="006B3D91">
      <w:pPr>
        <w:pStyle w:val="BodyText"/>
        <w:numPr>
          <w:ilvl w:val="0"/>
          <w:numId w:val="1"/>
        </w:numPr>
        <w:spacing w:after="160"/>
        <w:rPr>
          <w:b/>
          <w:bCs/>
        </w:rPr>
      </w:pPr>
      <w:r w:rsidRPr="006B3D91">
        <w:rPr>
          <w:b/>
          <w:bCs/>
        </w:rPr>
        <w:t>Information Security</w:t>
      </w:r>
    </w:p>
    <w:p w14:paraId="48DA15F5" w14:textId="7AF3F517" w:rsidR="00900E25" w:rsidRDefault="00EB0F96" w:rsidP="00975B86">
      <w:pPr>
        <w:pStyle w:val="BodyText"/>
        <w:numPr>
          <w:ilvl w:val="0"/>
          <w:numId w:val="12"/>
        </w:numPr>
        <w:spacing w:after="160"/>
      </w:pPr>
      <w:r w:rsidRPr="00EB0F96">
        <w:t xml:space="preserve">The reports and information, or any portions thereof, that are designated confidential </w:t>
      </w:r>
      <w:r w:rsidR="00DD4231">
        <w:t xml:space="preserve">by the Committee </w:t>
      </w:r>
      <w:r w:rsidR="00DC4246">
        <w:t>are exempted from disclosure under the Washington Public Records Act (</w:t>
      </w:r>
      <w:hyperlink r:id="rId10" w:history="1">
        <w:r w:rsidR="00F523E4" w:rsidRPr="00F523E4">
          <w:rPr>
            <w:rStyle w:val="Hyperlink"/>
          </w:rPr>
          <w:t xml:space="preserve">Chapter </w:t>
        </w:r>
        <w:r w:rsidR="00DD4231" w:rsidRPr="00F523E4">
          <w:rPr>
            <w:rStyle w:val="Hyperlink"/>
          </w:rPr>
          <w:t>42.56</w:t>
        </w:r>
      </w:hyperlink>
      <w:r w:rsidR="00DD4231">
        <w:t xml:space="preserve"> </w:t>
      </w:r>
      <w:r w:rsidR="00F523E4">
        <w:t xml:space="preserve">of the </w:t>
      </w:r>
      <w:r w:rsidR="00DD4231">
        <w:t>Revised Code of Washington</w:t>
      </w:r>
      <w:r w:rsidR="00247FF0">
        <w:t>)</w:t>
      </w:r>
      <w:r w:rsidR="00DD4231">
        <w:t>.</w:t>
      </w:r>
    </w:p>
    <w:p w14:paraId="20251F71" w14:textId="673F20FF" w:rsidR="00DD4231" w:rsidRDefault="00DD4231" w:rsidP="006B3D91">
      <w:pPr>
        <w:pStyle w:val="BodyText"/>
        <w:numPr>
          <w:ilvl w:val="0"/>
          <w:numId w:val="12"/>
        </w:numPr>
        <w:spacing w:after="160"/>
      </w:pPr>
      <w:r>
        <w:t xml:space="preserve">Sensitive security information discussed in the Committee may use the federal </w:t>
      </w:r>
      <w:hyperlink r:id="rId11" w:history="1">
        <w:r w:rsidRPr="00444DD8">
          <w:rPr>
            <w:rStyle w:val="Hyperlink"/>
          </w:rPr>
          <w:t>Protected Critical Infrastructure Information (PCII) program</w:t>
        </w:r>
      </w:hyperlink>
      <w:r>
        <w:t xml:space="preserve"> </w:t>
      </w:r>
      <w:r w:rsidR="00824DF9">
        <w:t>to mark, protect, and maintain information security appropriately</w:t>
      </w:r>
      <w:r>
        <w:t xml:space="preserve">. </w:t>
      </w:r>
      <w:r w:rsidR="00290429">
        <w:t xml:space="preserve">The PCII program is administered by the Department of Homeland Security and coordinated in Washington State by the Military Department’s Emergency Management Division. </w:t>
      </w:r>
    </w:p>
    <w:p w14:paraId="52377DE7" w14:textId="4EF9BED0" w:rsidR="00975B86" w:rsidRDefault="00975B86" w:rsidP="00FA3CFA">
      <w:pPr>
        <w:pStyle w:val="BodyText"/>
        <w:numPr>
          <w:ilvl w:val="1"/>
          <w:numId w:val="12"/>
        </w:numPr>
        <w:spacing w:after="160"/>
        <w:ind w:left="1440"/>
      </w:pPr>
      <w:r>
        <w:t xml:space="preserve">All </w:t>
      </w:r>
      <w:r w:rsidR="00707AFE">
        <w:t>C</w:t>
      </w:r>
      <w:r>
        <w:t xml:space="preserve">ommittee members are encouraged to complete PCII training </w:t>
      </w:r>
      <w:r w:rsidR="002023F1">
        <w:t xml:space="preserve">which </w:t>
      </w:r>
      <w:r w:rsidR="00530ABA">
        <w:t>is required to</w:t>
      </w:r>
      <w:r w:rsidR="002023F1">
        <w:t xml:space="preserve"> </w:t>
      </w:r>
      <w:r w:rsidR="00276F3E">
        <w:t>handle or view</w:t>
      </w:r>
      <w:r w:rsidR="002023F1">
        <w:t xml:space="preserve"> any </w:t>
      </w:r>
      <w:r w:rsidR="00070113">
        <w:t>material designated as PCII by the federal government</w:t>
      </w:r>
      <w:r w:rsidR="001C4D8C">
        <w:t>.</w:t>
      </w:r>
    </w:p>
    <w:p w14:paraId="4FAF22C8" w14:textId="77777777" w:rsidR="00433F15" w:rsidRDefault="002023F1" w:rsidP="00FA3CFA">
      <w:pPr>
        <w:pStyle w:val="BodyText"/>
        <w:numPr>
          <w:ilvl w:val="1"/>
          <w:numId w:val="12"/>
        </w:numPr>
        <w:spacing w:after="160"/>
        <w:ind w:left="1440"/>
      </w:pPr>
      <w:r>
        <w:t xml:space="preserve">Per PCII handling requirements, any </w:t>
      </w:r>
      <w:r w:rsidR="009226B9">
        <w:t>individuals who have access to PCII information must also complete PCII training. This includes</w:t>
      </w:r>
      <w:r w:rsidR="00433F15">
        <w:t>:</w:t>
      </w:r>
    </w:p>
    <w:p w14:paraId="4A5CB89F" w14:textId="2F015F0D" w:rsidR="002023F1" w:rsidRDefault="00433F15" w:rsidP="00FA3CFA">
      <w:pPr>
        <w:pStyle w:val="BodyText"/>
        <w:numPr>
          <w:ilvl w:val="2"/>
          <w:numId w:val="12"/>
        </w:numPr>
        <w:spacing w:after="160"/>
        <w:ind w:left="1890"/>
      </w:pPr>
      <w:r>
        <w:t>All</w:t>
      </w:r>
      <w:r w:rsidR="009226B9">
        <w:t xml:space="preserve"> IT support staff</w:t>
      </w:r>
      <w:r w:rsidR="00CF730B">
        <w:t>, or any other staff,</w:t>
      </w:r>
      <w:r w:rsidR="009226B9">
        <w:t xml:space="preserve"> who administer</w:t>
      </w:r>
      <w:r w:rsidR="00CF730B">
        <w:t xml:space="preserve"> or have access to</w:t>
      </w:r>
      <w:r w:rsidR="009226B9">
        <w:t xml:space="preserve"> </w:t>
      </w:r>
      <w:r>
        <w:t>network locations</w:t>
      </w:r>
      <w:r w:rsidR="00CF730B">
        <w:t xml:space="preserve"> </w:t>
      </w:r>
      <w:r>
        <w:t xml:space="preserve">where PCII is </w:t>
      </w:r>
      <w:r w:rsidR="00CF730B">
        <w:t>stored.</w:t>
      </w:r>
      <w:r w:rsidR="002023F1">
        <w:t xml:space="preserve"> </w:t>
      </w:r>
    </w:p>
    <w:p w14:paraId="057723FD" w14:textId="415692B9" w:rsidR="00433F15" w:rsidRDefault="00433F15" w:rsidP="00FA3CFA">
      <w:pPr>
        <w:pStyle w:val="BodyText"/>
        <w:numPr>
          <w:ilvl w:val="2"/>
          <w:numId w:val="12"/>
        </w:numPr>
        <w:spacing w:after="160"/>
        <w:ind w:left="1890"/>
      </w:pPr>
      <w:r>
        <w:t>Members of the Emergency Management Council who wish to review PCII protected documents produced by this Committee</w:t>
      </w:r>
      <w:r w:rsidR="00FA3CFA">
        <w:t>.</w:t>
      </w:r>
    </w:p>
    <w:p w14:paraId="0B593CE8" w14:textId="178E18B5" w:rsidR="00433F15" w:rsidRDefault="00433F15" w:rsidP="00FA3CFA">
      <w:pPr>
        <w:pStyle w:val="BodyText"/>
        <w:numPr>
          <w:ilvl w:val="2"/>
          <w:numId w:val="12"/>
        </w:numPr>
        <w:spacing w:after="160"/>
        <w:ind w:left="1890"/>
      </w:pPr>
      <w:r>
        <w:t xml:space="preserve">Coworkers, supervisors, or leadership from any organization </w:t>
      </w:r>
      <w:r w:rsidR="00FA3CFA">
        <w:t>that is represented on this Committee.</w:t>
      </w:r>
    </w:p>
    <w:p w14:paraId="2E2647A2" w14:textId="3CCAB8E9" w:rsidR="00DD4231" w:rsidRDefault="00DD4231" w:rsidP="00DD4231">
      <w:pPr>
        <w:pStyle w:val="BodyText"/>
        <w:numPr>
          <w:ilvl w:val="0"/>
          <w:numId w:val="1"/>
        </w:numPr>
        <w:spacing w:after="160"/>
        <w:rPr>
          <w:b/>
          <w:bCs/>
        </w:rPr>
      </w:pPr>
      <w:r w:rsidRPr="00DD4231">
        <w:rPr>
          <w:b/>
          <w:bCs/>
        </w:rPr>
        <w:t>Amendments</w:t>
      </w:r>
    </w:p>
    <w:p w14:paraId="3D46CD3B" w14:textId="6D2581A8" w:rsidR="00DD4231" w:rsidRDefault="00DD4231" w:rsidP="00DD4231">
      <w:pPr>
        <w:pStyle w:val="BodyText"/>
        <w:spacing w:after="160"/>
        <w:ind w:left="720"/>
      </w:pPr>
      <w:r>
        <w:t>This Charter may be amended, repealed, altered, on whole or part, or a new Charter adopted at the recommendation of the Committee and with approval of the Emergency Management Council (EMC).</w:t>
      </w:r>
    </w:p>
    <w:p w14:paraId="4B63C591" w14:textId="61D809A0" w:rsidR="00DD4231" w:rsidRPr="00DD4231" w:rsidRDefault="00DD4231" w:rsidP="00DD4231">
      <w:pPr>
        <w:pStyle w:val="BodyText"/>
        <w:numPr>
          <w:ilvl w:val="0"/>
          <w:numId w:val="1"/>
        </w:numPr>
        <w:spacing w:after="160"/>
        <w:rPr>
          <w:b/>
          <w:bCs/>
        </w:rPr>
      </w:pPr>
      <w:r w:rsidRPr="00DD4231">
        <w:rPr>
          <w:b/>
          <w:bCs/>
        </w:rPr>
        <w:t>Adoption Date and Annual Review</w:t>
      </w:r>
    </w:p>
    <w:p w14:paraId="7A2DCA9C" w14:textId="55539A5E" w:rsidR="00DD4231" w:rsidRDefault="00DD4231" w:rsidP="00DD4231">
      <w:pPr>
        <w:pStyle w:val="BodyText"/>
        <w:numPr>
          <w:ilvl w:val="0"/>
          <w:numId w:val="13"/>
        </w:numPr>
        <w:spacing w:after="160"/>
      </w:pPr>
      <w:r>
        <w:t xml:space="preserve">Adoption Date: </w:t>
      </w:r>
    </w:p>
    <w:p w14:paraId="0FD72394" w14:textId="15D5897E" w:rsidR="00DD4231" w:rsidRPr="00DD4231" w:rsidRDefault="00DD4231" w:rsidP="00DD4231">
      <w:pPr>
        <w:pStyle w:val="BodyText"/>
        <w:numPr>
          <w:ilvl w:val="0"/>
          <w:numId w:val="13"/>
        </w:numPr>
        <w:spacing w:after="160"/>
      </w:pPr>
      <w:r>
        <w:t>An annual review is due each December.</w:t>
      </w:r>
    </w:p>
    <w:p w14:paraId="2DC72B8A" w14:textId="77777777" w:rsidR="00CD3FFF" w:rsidRPr="00CD3FFF" w:rsidRDefault="00CD3FFF" w:rsidP="00824D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CD3FFF" w:rsidRPr="00CD3F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C5868" w14:textId="77777777" w:rsidR="00204AD0" w:rsidRDefault="00204AD0" w:rsidP="00BE28CC">
      <w:pPr>
        <w:spacing w:after="0" w:line="240" w:lineRule="auto"/>
      </w:pPr>
      <w:r>
        <w:separator/>
      </w:r>
    </w:p>
  </w:endnote>
  <w:endnote w:type="continuationSeparator" w:id="0">
    <w:p w14:paraId="26999823" w14:textId="77777777" w:rsidR="00204AD0" w:rsidRDefault="00204AD0" w:rsidP="00BE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C7EE" w14:textId="77777777" w:rsidR="00B47597" w:rsidRDefault="00B475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40617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122E2F3" w14:textId="5D0FCACC" w:rsidR="00BE28CC" w:rsidRDefault="00BE28C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99FD739" w14:textId="77777777" w:rsidR="00BE28CC" w:rsidRDefault="00BE28CC" w:rsidP="00BE28C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F2CCE" w14:textId="77777777" w:rsidR="00B47597" w:rsidRDefault="00B475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BA7F4" w14:textId="77777777" w:rsidR="00204AD0" w:rsidRDefault="00204AD0" w:rsidP="00BE28CC">
      <w:pPr>
        <w:spacing w:after="0" w:line="240" w:lineRule="auto"/>
      </w:pPr>
      <w:r>
        <w:separator/>
      </w:r>
    </w:p>
  </w:footnote>
  <w:footnote w:type="continuationSeparator" w:id="0">
    <w:p w14:paraId="7CFAA424" w14:textId="77777777" w:rsidR="00204AD0" w:rsidRDefault="00204AD0" w:rsidP="00BE2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16E82" w14:textId="77777777" w:rsidR="00B47597" w:rsidRDefault="00B475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844250"/>
      <w:docPartObj>
        <w:docPartGallery w:val="Watermarks"/>
        <w:docPartUnique/>
      </w:docPartObj>
    </w:sdtPr>
    <w:sdtContent>
      <w:p w14:paraId="656CAA5A" w14:textId="528A0C2D" w:rsidR="00B47597" w:rsidRDefault="00000000">
        <w:pPr>
          <w:pStyle w:val="Header"/>
        </w:pPr>
        <w:r>
          <w:rPr>
            <w:noProof/>
          </w:rPr>
          <w:pict w14:anchorId="0846AF3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44F5E" w14:textId="77777777" w:rsidR="00B47597" w:rsidRDefault="00B475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76CB"/>
    <w:multiLevelType w:val="hybridMultilevel"/>
    <w:tmpl w:val="3E9691FA"/>
    <w:lvl w:ilvl="0" w:tplc="520CF65A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BA42A0"/>
    <w:multiLevelType w:val="hybridMultilevel"/>
    <w:tmpl w:val="5038CC6E"/>
    <w:lvl w:ilvl="0" w:tplc="520CF65A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416F73"/>
    <w:multiLevelType w:val="hybridMultilevel"/>
    <w:tmpl w:val="F3C698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09464E"/>
    <w:multiLevelType w:val="hybridMultilevel"/>
    <w:tmpl w:val="A0E03680"/>
    <w:lvl w:ilvl="0" w:tplc="04090015">
      <w:start w:val="1"/>
      <w:numFmt w:val="upperLetter"/>
      <w:lvlText w:val="%1."/>
      <w:lvlJc w:val="left"/>
      <w:pPr>
        <w:ind w:left="1780" w:hanging="360"/>
      </w:p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4" w15:restartNumberingAfterBreak="0">
    <w:nsid w:val="3991246B"/>
    <w:multiLevelType w:val="hybridMultilevel"/>
    <w:tmpl w:val="AE28C7D4"/>
    <w:lvl w:ilvl="0" w:tplc="6F9C1BD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D3228E"/>
    <w:multiLevelType w:val="hybridMultilevel"/>
    <w:tmpl w:val="CB10C04A"/>
    <w:lvl w:ilvl="0" w:tplc="520CF65A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247EC8"/>
    <w:multiLevelType w:val="hybridMultilevel"/>
    <w:tmpl w:val="2A8CBD82"/>
    <w:lvl w:ilvl="0" w:tplc="520CF65A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0A4EA6"/>
    <w:multiLevelType w:val="hybridMultilevel"/>
    <w:tmpl w:val="E308314C"/>
    <w:lvl w:ilvl="0" w:tplc="520CF65A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314970"/>
    <w:multiLevelType w:val="hybridMultilevel"/>
    <w:tmpl w:val="41BAE176"/>
    <w:lvl w:ilvl="0" w:tplc="520CF65A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1424D3"/>
    <w:multiLevelType w:val="hybridMultilevel"/>
    <w:tmpl w:val="F3E40DDC"/>
    <w:lvl w:ilvl="0" w:tplc="520CF65A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3704D1"/>
    <w:multiLevelType w:val="hybridMultilevel"/>
    <w:tmpl w:val="DFF2C374"/>
    <w:lvl w:ilvl="0" w:tplc="520CF65A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202E22"/>
    <w:multiLevelType w:val="hybridMultilevel"/>
    <w:tmpl w:val="675808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520CF65A">
      <w:start w:val="1"/>
      <w:numFmt w:val="upp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F47E6"/>
    <w:multiLevelType w:val="hybridMultilevel"/>
    <w:tmpl w:val="10ACF38C"/>
    <w:lvl w:ilvl="0" w:tplc="520CF65A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23306812">
    <w:abstractNumId w:val="11"/>
  </w:num>
  <w:num w:numId="2" w16cid:durableId="1603763782">
    <w:abstractNumId w:val="1"/>
  </w:num>
  <w:num w:numId="3" w16cid:durableId="2031101083">
    <w:abstractNumId w:val="3"/>
  </w:num>
  <w:num w:numId="4" w16cid:durableId="545918686">
    <w:abstractNumId w:val="0"/>
  </w:num>
  <w:num w:numId="5" w16cid:durableId="247350107">
    <w:abstractNumId w:val="7"/>
  </w:num>
  <w:num w:numId="6" w16cid:durableId="1900820226">
    <w:abstractNumId w:val="2"/>
  </w:num>
  <w:num w:numId="7" w16cid:durableId="1679381317">
    <w:abstractNumId w:val="8"/>
  </w:num>
  <w:num w:numId="8" w16cid:durableId="518742951">
    <w:abstractNumId w:val="4"/>
  </w:num>
  <w:num w:numId="9" w16cid:durableId="592664897">
    <w:abstractNumId w:val="10"/>
  </w:num>
  <w:num w:numId="10" w16cid:durableId="516043543">
    <w:abstractNumId w:val="5"/>
  </w:num>
  <w:num w:numId="11" w16cid:durableId="639261831">
    <w:abstractNumId w:val="12"/>
  </w:num>
  <w:num w:numId="12" w16cid:durableId="1463887071">
    <w:abstractNumId w:val="6"/>
  </w:num>
  <w:num w:numId="13" w16cid:durableId="16886021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FF"/>
    <w:rsid w:val="000360C4"/>
    <w:rsid w:val="00070113"/>
    <w:rsid w:val="000E41F3"/>
    <w:rsid w:val="00111961"/>
    <w:rsid w:val="00131623"/>
    <w:rsid w:val="00152B0F"/>
    <w:rsid w:val="00193396"/>
    <w:rsid w:val="001C4D8C"/>
    <w:rsid w:val="001F7DFC"/>
    <w:rsid w:val="002023F1"/>
    <w:rsid w:val="00204AD0"/>
    <w:rsid w:val="00234462"/>
    <w:rsid w:val="00247FF0"/>
    <w:rsid w:val="00276F3E"/>
    <w:rsid w:val="0028613F"/>
    <w:rsid w:val="00290429"/>
    <w:rsid w:val="00345BF9"/>
    <w:rsid w:val="00385709"/>
    <w:rsid w:val="00410B73"/>
    <w:rsid w:val="00433F15"/>
    <w:rsid w:val="00444DD8"/>
    <w:rsid w:val="00475E8B"/>
    <w:rsid w:val="00530ABA"/>
    <w:rsid w:val="0057433B"/>
    <w:rsid w:val="005C52CA"/>
    <w:rsid w:val="00626CB5"/>
    <w:rsid w:val="006945F9"/>
    <w:rsid w:val="006A2CF6"/>
    <w:rsid w:val="006B3D91"/>
    <w:rsid w:val="006C7D44"/>
    <w:rsid w:val="00707AFE"/>
    <w:rsid w:val="00797CE6"/>
    <w:rsid w:val="007D2ADE"/>
    <w:rsid w:val="00824DF9"/>
    <w:rsid w:val="00900E25"/>
    <w:rsid w:val="00903D9A"/>
    <w:rsid w:val="009226B9"/>
    <w:rsid w:val="00926FCB"/>
    <w:rsid w:val="00975B86"/>
    <w:rsid w:val="009841D4"/>
    <w:rsid w:val="00A10C36"/>
    <w:rsid w:val="00A55474"/>
    <w:rsid w:val="00AE6191"/>
    <w:rsid w:val="00B47597"/>
    <w:rsid w:val="00BE28CC"/>
    <w:rsid w:val="00BF70A0"/>
    <w:rsid w:val="00C77DC0"/>
    <w:rsid w:val="00CD3FFF"/>
    <w:rsid w:val="00CF730B"/>
    <w:rsid w:val="00D43E06"/>
    <w:rsid w:val="00DC4246"/>
    <w:rsid w:val="00DD4231"/>
    <w:rsid w:val="00E75CDB"/>
    <w:rsid w:val="00E94A76"/>
    <w:rsid w:val="00EB0F96"/>
    <w:rsid w:val="00F165D3"/>
    <w:rsid w:val="00F523E4"/>
    <w:rsid w:val="00F8730B"/>
    <w:rsid w:val="00FA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32E804"/>
  <w15:chartTrackingRefBased/>
  <w15:docId w15:val="{60873CD1-7172-4D47-9970-DD058695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FF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D3F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CD3FF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CD3F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F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2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8CC"/>
  </w:style>
  <w:style w:type="paragraph" w:styleId="Footer">
    <w:name w:val="footer"/>
    <w:basedOn w:val="Normal"/>
    <w:link w:val="FooterChar"/>
    <w:uiPriority w:val="99"/>
    <w:unhideWhenUsed/>
    <w:rsid w:val="00BE2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8CC"/>
  </w:style>
  <w:style w:type="character" w:styleId="FollowedHyperlink">
    <w:name w:val="FollowedHyperlink"/>
    <w:basedOn w:val="DefaultParagraphFont"/>
    <w:uiPriority w:val="99"/>
    <w:semiHidden/>
    <w:unhideWhenUsed/>
    <w:rsid w:val="00824DF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24D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rcw/default.aspx?cite=43.105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.leg.wa.gov/rcw/default.aspx?cite=38.52.040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isa.gov/resources-tools/programs/protected-critical-infrastructure-information-pcii-progra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app.leg.wa.gov/rcw/default.aspx?cite=42.5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isa.gov/topics/critical-infrastructure-security-and-resilience/critical-infrastructure-sector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Tristan (MIL)</dc:creator>
  <cp:keywords/>
  <dc:description/>
  <cp:lastModifiedBy>Wallace, Sharon (MIL)</cp:lastModifiedBy>
  <cp:revision>31</cp:revision>
  <dcterms:created xsi:type="dcterms:W3CDTF">2023-10-25T22:31:00Z</dcterms:created>
  <dcterms:modified xsi:type="dcterms:W3CDTF">2023-11-08T00:49:00Z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bf6eb09246baf8ce83e7dab78fd51c84bb0b03206a7e53b354e5143c33af4d6c</vt:lpwstr>
  </property>
</Properties>
</file>